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BAD" w:rsidRPr="00304BAD" w:rsidRDefault="00304BAD" w:rsidP="00304BAD">
      <w:pPr>
        <w:shd w:val="clear" w:color="auto" w:fill="E4D7C4"/>
        <w:spacing w:before="48" w:after="48" w:line="240" w:lineRule="auto"/>
        <w:jc w:val="center"/>
        <w:outlineLvl w:val="1"/>
        <w:rPr>
          <w:rFonts w:ascii="Monotype Corsiva" w:eastAsia="Times New Roman" w:hAnsi="Monotype Corsiva" w:cs="Times New Roman"/>
          <w:color w:val="504025"/>
          <w:sz w:val="38"/>
          <w:szCs w:val="38"/>
          <w:lang w:eastAsia="hu-HU"/>
        </w:rPr>
      </w:pPr>
      <w:r>
        <w:rPr>
          <w:rFonts w:ascii="Monotype Corsiva" w:eastAsia="Times New Roman" w:hAnsi="Monotype Corsiva" w:cs="Times New Roman"/>
          <w:noProof/>
          <w:color w:val="504025"/>
          <w:sz w:val="38"/>
          <w:szCs w:val="38"/>
          <w:lang w:eastAsia="hu-HU"/>
        </w:rPr>
        <w:drawing>
          <wp:inline distT="0" distB="0" distL="0" distR="0">
            <wp:extent cx="200025" cy="304800"/>
            <wp:effectExtent l="19050" t="0" r="9525" b="0"/>
            <wp:docPr id="1" name="Kép 1" descr="postheade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stheadericon"/>
                    <pic:cNvPicPr>
                      <a:picLocks noChangeAspect="1" noChangeArrowheads="1"/>
                    </pic:cNvPicPr>
                  </pic:nvPicPr>
                  <pic:blipFill>
                    <a:blip r:embed="rId4" cstate="print"/>
                    <a:srcRect/>
                    <a:stretch>
                      <a:fillRect/>
                    </a:stretch>
                  </pic:blipFill>
                  <pic:spPr bwMode="auto">
                    <a:xfrm>
                      <a:off x="0" y="0"/>
                      <a:ext cx="200025" cy="304800"/>
                    </a:xfrm>
                    <a:prstGeom prst="rect">
                      <a:avLst/>
                    </a:prstGeom>
                    <a:noFill/>
                    <a:ln w="9525">
                      <a:noFill/>
                      <a:miter lim="800000"/>
                      <a:headEnd/>
                      <a:tailEnd/>
                    </a:ln>
                  </pic:spPr>
                </pic:pic>
              </a:graphicData>
            </a:graphic>
          </wp:inline>
        </w:drawing>
      </w:r>
      <w:r w:rsidRPr="00304BAD">
        <w:rPr>
          <w:rFonts w:ascii="Monotype Corsiva" w:eastAsia="Times New Roman" w:hAnsi="Monotype Corsiva" w:cs="Times New Roman"/>
          <w:color w:val="504025"/>
          <w:sz w:val="38"/>
          <w:lang w:eastAsia="hu-HU"/>
        </w:rPr>
        <w:t> </w:t>
      </w:r>
      <w:r w:rsidRPr="00304BAD">
        <w:rPr>
          <w:rFonts w:ascii="Monotype Corsiva" w:eastAsia="Times New Roman" w:hAnsi="Monotype Corsiva" w:cs="Times New Roman"/>
          <w:color w:val="504025"/>
          <w:sz w:val="38"/>
          <w:szCs w:val="38"/>
          <w:lang w:eastAsia="hu-HU"/>
        </w:rPr>
        <w:t>Nyílvesszők</w:t>
      </w:r>
    </w:p>
    <w:p w:rsidR="00304BAD" w:rsidRPr="00304BAD" w:rsidRDefault="00304BAD" w:rsidP="00304BAD">
      <w:pPr>
        <w:shd w:val="clear" w:color="auto" w:fill="E4D7C4"/>
        <w:spacing w:after="0" w:line="240" w:lineRule="auto"/>
        <w:jc w:val="center"/>
        <w:rPr>
          <w:rFonts w:ascii="Georgia" w:eastAsia="Times New Roman" w:hAnsi="Georgia" w:cs="Times New Roman"/>
          <w:color w:val="65502F"/>
          <w:sz w:val="15"/>
          <w:szCs w:val="15"/>
          <w:lang w:eastAsia="hu-HU"/>
        </w:rPr>
      </w:pPr>
      <w:r>
        <w:rPr>
          <w:rFonts w:ascii="Georgia" w:eastAsia="Times New Roman" w:hAnsi="Georgia" w:cs="Times New Roman"/>
          <w:i/>
          <w:iCs/>
          <w:noProof/>
          <w:color w:val="285776"/>
          <w:sz w:val="15"/>
          <w:szCs w:val="15"/>
          <w:lang w:eastAsia="hu-HU"/>
        </w:rPr>
        <w:drawing>
          <wp:inline distT="0" distB="0" distL="0" distR="0">
            <wp:extent cx="133350" cy="133350"/>
            <wp:effectExtent l="19050" t="0" r="0" b="0"/>
            <wp:docPr id="2" name="Kép 2" descr="Nyomtatás">
              <a:hlinkClick xmlns:a="http://schemas.openxmlformats.org/drawingml/2006/main" r:id="rId5" tooltip="&quot;Nyomtatá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yomtatás">
                      <a:hlinkClick r:id="rId5" tooltip="&quot;Nyomtatás&quot;"/>
                    </pic:cNvPr>
                    <pic:cNvPicPr>
                      <a:picLocks noChangeAspect="1" noChangeArrowheads="1"/>
                    </pic:cNvPicPr>
                  </pic:nvPicPr>
                  <pic:blipFill>
                    <a:blip r:embed="rId6" cstate="print"/>
                    <a:srcRect/>
                    <a:stretch>
                      <a:fillRect/>
                    </a:stretch>
                  </pic:blipFill>
                  <pic:spPr bwMode="auto">
                    <a:xfrm>
                      <a:off x="0" y="0"/>
                      <a:ext cx="133350" cy="133350"/>
                    </a:xfrm>
                    <a:prstGeom prst="rect">
                      <a:avLst/>
                    </a:prstGeom>
                    <a:noFill/>
                    <a:ln w="9525">
                      <a:noFill/>
                      <a:miter lim="800000"/>
                      <a:headEnd/>
                      <a:tailEnd/>
                    </a:ln>
                  </pic:spPr>
                </pic:pic>
              </a:graphicData>
            </a:graphic>
          </wp:inline>
        </w:drawing>
      </w:r>
      <w:r w:rsidRPr="00304BAD">
        <w:rPr>
          <w:rFonts w:ascii="Georgia" w:eastAsia="Times New Roman" w:hAnsi="Georgia" w:cs="Times New Roman"/>
          <w:color w:val="65502F"/>
          <w:sz w:val="15"/>
          <w:lang w:eastAsia="hu-HU"/>
        </w:rPr>
        <w:t> </w:t>
      </w:r>
      <w:r w:rsidRPr="00304BAD">
        <w:rPr>
          <w:rFonts w:ascii="Georgia" w:eastAsia="Times New Roman" w:hAnsi="Georgia" w:cs="Times New Roman"/>
          <w:color w:val="65502F"/>
          <w:sz w:val="15"/>
          <w:szCs w:val="15"/>
          <w:lang w:eastAsia="hu-HU"/>
        </w:rPr>
        <w:t>|</w:t>
      </w:r>
      <w:r w:rsidRPr="00304BAD">
        <w:rPr>
          <w:rFonts w:ascii="Georgia" w:eastAsia="Times New Roman" w:hAnsi="Georgia" w:cs="Times New Roman"/>
          <w:color w:val="65502F"/>
          <w:sz w:val="15"/>
          <w:lang w:eastAsia="hu-HU"/>
        </w:rPr>
        <w:t> </w:t>
      </w:r>
      <w:r>
        <w:rPr>
          <w:rFonts w:ascii="Georgia" w:eastAsia="Times New Roman" w:hAnsi="Georgia" w:cs="Times New Roman"/>
          <w:i/>
          <w:iCs/>
          <w:noProof/>
          <w:color w:val="285776"/>
          <w:sz w:val="15"/>
          <w:szCs w:val="15"/>
          <w:lang w:eastAsia="hu-HU"/>
        </w:rPr>
        <w:drawing>
          <wp:inline distT="0" distB="0" distL="0" distR="0">
            <wp:extent cx="133350" cy="85725"/>
            <wp:effectExtent l="19050" t="0" r="0" b="0"/>
            <wp:docPr id="3" name="Kép 3"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
                      <a:hlinkClick r:id="rId7" tooltip="&quot;E-mail&quot;"/>
                    </pic:cNvPr>
                    <pic:cNvPicPr>
                      <a:picLocks noChangeAspect="1" noChangeArrowheads="1"/>
                    </pic:cNvPicPr>
                  </pic:nvPicPr>
                  <pic:blipFill>
                    <a:blip r:embed="rId8" cstate="print"/>
                    <a:srcRect/>
                    <a:stretch>
                      <a:fillRect/>
                    </a:stretch>
                  </pic:blipFill>
                  <pic:spPr bwMode="auto">
                    <a:xfrm>
                      <a:off x="0" y="0"/>
                      <a:ext cx="133350" cy="85725"/>
                    </a:xfrm>
                    <a:prstGeom prst="rect">
                      <a:avLst/>
                    </a:prstGeom>
                    <a:noFill/>
                    <a:ln w="9525">
                      <a:noFill/>
                      <a:miter lim="800000"/>
                      <a:headEnd/>
                      <a:tailEnd/>
                    </a:ln>
                  </pic:spPr>
                </pic:pic>
              </a:graphicData>
            </a:graphic>
          </wp:inline>
        </w:drawing>
      </w:r>
    </w:p>
    <w:p w:rsidR="00304BAD" w:rsidRPr="00304BAD" w:rsidRDefault="00304BAD" w:rsidP="00304BAD">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304BAD">
        <w:rPr>
          <w:rFonts w:ascii="Monotype Corsiva" w:eastAsia="Times New Roman" w:hAnsi="Monotype Corsiva" w:cs="Times New Roman"/>
          <w:b/>
          <w:bCs/>
          <w:color w:val="493A22"/>
          <w:sz w:val="27"/>
          <w:lang w:eastAsia="hu-HU"/>
        </w:rPr>
        <w:t>Vesszők (hossz, vastagság, rugalmasság, tollazás)</w:t>
      </w:r>
    </w:p>
    <w:p w:rsidR="00304BAD" w:rsidRPr="00304BAD" w:rsidRDefault="00304BAD" w:rsidP="00304BAD">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Pr>
          <w:rFonts w:ascii="Monotype Corsiva" w:eastAsia="Times New Roman" w:hAnsi="Monotype Corsiva" w:cs="Times New Roman"/>
          <w:noProof/>
          <w:color w:val="493A22"/>
          <w:sz w:val="27"/>
          <w:szCs w:val="27"/>
          <w:lang w:eastAsia="hu-HU"/>
        </w:rPr>
        <w:drawing>
          <wp:inline distT="0" distB="0" distL="0" distR="0">
            <wp:extent cx="2381250" cy="1809750"/>
            <wp:effectExtent l="19050" t="0" r="0" b="0"/>
            <wp:docPr id="4" name="Kép 4" descr="http://keszi-ijasz.hu/images/stories/naturvessz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keszi-ijasz.hu/images/stories/naturvesszo.png"/>
                    <pic:cNvPicPr>
                      <a:picLocks noChangeAspect="1" noChangeArrowheads="1"/>
                    </pic:cNvPicPr>
                  </pic:nvPicPr>
                  <pic:blipFill>
                    <a:blip r:embed="rId9" cstate="print"/>
                    <a:srcRect/>
                    <a:stretch>
                      <a:fillRect/>
                    </a:stretch>
                  </pic:blipFill>
                  <pic:spPr bwMode="auto">
                    <a:xfrm>
                      <a:off x="0" y="0"/>
                      <a:ext cx="2381250" cy="1809750"/>
                    </a:xfrm>
                    <a:prstGeom prst="rect">
                      <a:avLst/>
                    </a:prstGeom>
                    <a:noFill/>
                    <a:ln w="9525">
                      <a:noFill/>
                      <a:miter lim="800000"/>
                      <a:headEnd/>
                      <a:tailEnd/>
                    </a:ln>
                  </pic:spPr>
                </pic:pic>
              </a:graphicData>
            </a:graphic>
          </wp:inline>
        </w:drawing>
      </w:r>
      <w:r w:rsidRPr="00304BAD">
        <w:rPr>
          <w:rFonts w:ascii="Monotype Corsiva" w:eastAsia="Times New Roman" w:hAnsi="Monotype Corsiva" w:cs="Times New Roman"/>
          <w:color w:val="493A22"/>
          <w:sz w:val="27"/>
          <w:szCs w:val="27"/>
          <w:lang w:eastAsia="hu-HU"/>
        </w:rPr>
        <w:t xml:space="preserve">A történelmi íjászatban általában alapkövetelmény, hogy az íjász kizárólag céllövő heggyel és madártollal ellátott fa alapanyagú vesszőt használjon. A valóban jó favessző beszerzése azonban sokáig nem tűnt egyszerű feladatnak, ezért a kezdeti időszak történelmi íjászai maguk készítették nyílvesszőiket. A helyzeten először a </w:t>
      </w:r>
      <w:proofErr w:type="spellStart"/>
      <w:r w:rsidRPr="00304BAD">
        <w:rPr>
          <w:rFonts w:ascii="Monotype Corsiva" w:eastAsia="Times New Roman" w:hAnsi="Monotype Corsiva" w:cs="Times New Roman"/>
          <w:color w:val="493A22"/>
          <w:sz w:val="27"/>
          <w:szCs w:val="27"/>
          <w:lang w:eastAsia="hu-HU"/>
        </w:rPr>
        <w:t>Szalóky-Kelemen</w:t>
      </w:r>
      <w:proofErr w:type="spellEnd"/>
      <w:r w:rsidRPr="00304BAD">
        <w:rPr>
          <w:rFonts w:ascii="Monotype Corsiva" w:eastAsia="Times New Roman" w:hAnsi="Monotype Corsiva" w:cs="Times New Roman"/>
          <w:color w:val="493A22"/>
          <w:sz w:val="27"/>
          <w:szCs w:val="27"/>
          <w:lang w:eastAsia="hu-HU"/>
        </w:rPr>
        <w:t xml:space="preserve"> cég megjelenése változtatott, s ma több gyártó is készít olyan favesszőket, amelyek magas szinten felelnek meg a versenyek által támasztott követelményeknek. Ugyanakkor nem szabad elfeledkeznünk arról a problémáról, ami természetes alapanyagok felhasználása esetében mindig felmerül: nincs két tökéletesen egyforma nyílvessző.</w:t>
      </w:r>
    </w:p>
    <w:p w:rsidR="00304BAD" w:rsidRPr="00304BAD" w:rsidRDefault="00304BAD" w:rsidP="00304BAD">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304BAD">
        <w:rPr>
          <w:rFonts w:ascii="Monotype Corsiva" w:eastAsia="Times New Roman" w:hAnsi="Monotype Corsiva" w:cs="Times New Roman"/>
          <w:color w:val="493A22"/>
          <w:sz w:val="27"/>
          <w:szCs w:val="27"/>
          <w:lang w:eastAsia="hu-HU"/>
        </w:rPr>
        <w:t xml:space="preserve">Az olimpiai és csigás kategóriák íjászai számára magától értetődő dolog a felszerelés behangolása, vagyis az íj erejének és az íjász húzáshosszának figyelembe vételével a megfelelő vessző kiválasztása: katalógusból. Ez természetesen a történelmi íjászok számára elképzelhetetlen. Ugyanakkor tudomásul kell venni, hogy a pontos lövésnek a történelmi íjaknál is alapfeltétele, hogy az íj feszítőerejéhez, dinamizmusához illő vesszőt használjunk. A megfelelő vessző kiválasztása éppen ezért a történelmi íjászok számára nem egyszerű feladat. Általában azt mondhatjuk, hogy több vesszőtípust célszerű kipróbálni, s előbb vagy utóbb rátalálunk a számunkra ideális vesszőkre. Ha ez sikerült, idényenként egyszerre tíz-tizenöt darabot célszerű rendelnünk a gyártótól. Ez a mennyiség általában egy versenyszezont bír ki, az edzéseket is beleértve. Helyesen tesszük, ha a vesszőkkel együtt bizonyos számú tartalék nyílvéget (angolul </w:t>
      </w:r>
      <w:proofErr w:type="spellStart"/>
      <w:r w:rsidRPr="00304BAD">
        <w:rPr>
          <w:rFonts w:ascii="Monotype Corsiva" w:eastAsia="Times New Roman" w:hAnsi="Monotype Corsiva" w:cs="Times New Roman"/>
          <w:color w:val="493A22"/>
          <w:sz w:val="27"/>
          <w:szCs w:val="27"/>
          <w:lang w:eastAsia="hu-HU"/>
        </w:rPr>
        <w:t>nock-ot</w:t>
      </w:r>
      <w:proofErr w:type="spellEnd"/>
      <w:r w:rsidRPr="00304BAD">
        <w:rPr>
          <w:rFonts w:ascii="Monotype Corsiva" w:eastAsia="Times New Roman" w:hAnsi="Monotype Corsiva" w:cs="Times New Roman"/>
          <w:color w:val="493A22"/>
          <w:sz w:val="27"/>
          <w:szCs w:val="27"/>
          <w:lang w:eastAsia="hu-HU"/>
        </w:rPr>
        <w:t>) is rendelünk.</w:t>
      </w:r>
    </w:p>
    <w:p w:rsidR="00304BAD" w:rsidRPr="00304BAD" w:rsidRDefault="00304BAD" w:rsidP="00304BAD">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Pr>
          <w:rFonts w:ascii="Monotype Corsiva" w:eastAsia="Times New Roman" w:hAnsi="Monotype Corsiva" w:cs="Times New Roman"/>
          <w:noProof/>
          <w:color w:val="493A22"/>
          <w:sz w:val="27"/>
          <w:szCs w:val="27"/>
          <w:lang w:eastAsia="hu-HU"/>
        </w:rPr>
        <w:drawing>
          <wp:inline distT="0" distB="0" distL="0" distR="0">
            <wp:extent cx="1295400" cy="1104900"/>
            <wp:effectExtent l="0" t="0" r="0" b="0"/>
            <wp:docPr id="5" name="Kép 5" descr="http://keszi-ijasz.hu/images/stories/nyilhe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eszi-ijasz.hu/images/stories/nyilhegy.png"/>
                    <pic:cNvPicPr>
                      <a:picLocks noChangeAspect="1" noChangeArrowheads="1"/>
                    </pic:cNvPicPr>
                  </pic:nvPicPr>
                  <pic:blipFill>
                    <a:blip r:embed="rId10" cstate="print"/>
                    <a:srcRect/>
                    <a:stretch>
                      <a:fillRect/>
                    </a:stretch>
                  </pic:blipFill>
                  <pic:spPr bwMode="auto">
                    <a:xfrm>
                      <a:off x="0" y="0"/>
                      <a:ext cx="1295400" cy="1104900"/>
                    </a:xfrm>
                    <a:prstGeom prst="rect">
                      <a:avLst/>
                    </a:prstGeom>
                    <a:noFill/>
                    <a:ln w="9525">
                      <a:noFill/>
                      <a:miter lim="800000"/>
                      <a:headEnd/>
                      <a:tailEnd/>
                    </a:ln>
                  </pic:spPr>
                </pic:pic>
              </a:graphicData>
            </a:graphic>
          </wp:inline>
        </w:drawing>
      </w:r>
      <w:r w:rsidRPr="00304BAD">
        <w:rPr>
          <w:rFonts w:ascii="Monotype Corsiva" w:eastAsia="Times New Roman" w:hAnsi="Monotype Corsiva" w:cs="Times New Roman"/>
          <w:color w:val="493A22"/>
          <w:sz w:val="27"/>
          <w:szCs w:val="27"/>
          <w:lang w:eastAsia="hu-HU"/>
        </w:rPr>
        <w:t>Nagyon fontos, hogy mind az edzéseken, mind a versenyeken ugyanazokat a vesszőket használjuk. Ennek érdekében akár jelöléssel (számozással) is elláthatjuk vesszőinket, vagy alkalmazhatunk olyan tegezt, amelyben rendezetten, nem pedig ömlesztve tárolhatjuk nyilainkat.</w:t>
      </w:r>
    </w:p>
    <w:p w:rsidR="00304BAD" w:rsidRPr="00304BAD" w:rsidRDefault="00304BAD" w:rsidP="00304BAD">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304BAD">
        <w:rPr>
          <w:rFonts w:ascii="Monotype Corsiva" w:eastAsia="Times New Roman" w:hAnsi="Monotype Corsiva" w:cs="Times New Roman"/>
          <w:color w:val="493A22"/>
          <w:sz w:val="27"/>
          <w:szCs w:val="27"/>
          <w:lang w:eastAsia="hu-HU"/>
        </w:rPr>
        <w:t xml:space="preserve">Történelmi versenyeken többször elhangzik az a panasz egy-egy esélyes íjász szájából, akinek éppen rosszul megy a lövés, hogy már csak két jó vesszője maradt, vagy az a szabályellenes kérés, hogy húzzuk ki a vesszőket, mert neki már csak ez a három (négy) jó vesszője van. Az </w:t>
      </w:r>
      <w:r w:rsidRPr="00304BAD">
        <w:rPr>
          <w:rFonts w:ascii="Monotype Corsiva" w:eastAsia="Times New Roman" w:hAnsi="Monotype Corsiva" w:cs="Times New Roman"/>
          <w:color w:val="493A22"/>
          <w:sz w:val="27"/>
          <w:szCs w:val="27"/>
          <w:lang w:eastAsia="hu-HU"/>
        </w:rPr>
        <w:lastRenderedPageBreak/>
        <w:t>ilyen íjász azonban sohasem szánalomra méltó, hanem egyszerűen felkészületlen. A versenyeken (és edzéseken is!) illik elegendő számú, egyforma vesszővel megjelennie annak, aki az íjászatot komolyan veszi!</w:t>
      </w:r>
    </w:p>
    <w:p w:rsidR="00304BAD" w:rsidRPr="00304BAD" w:rsidRDefault="00304BAD" w:rsidP="00304BAD">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304BAD">
        <w:rPr>
          <w:rFonts w:ascii="Monotype Corsiva" w:eastAsia="Times New Roman" w:hAnsi="Monotype Corsiva" w:cs="Times New Roman"/>
          <w:b/>
          <w:bCs/>
          <w:color w:val="493A22"/>
          <w:sz w:val="27"/>
          <w:lang w:eastAsia="hu-HU"/>
        </w:rPr>
        <w:t>A vessző hossza</w:t>
      </w:r>
    </w:p>
    <w:p w:rsidR="00304BAD" w:rsidRPr="00304BAD" w:rsidRDefault="00304BAD" w:rsidP="00304BAD">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304BAD">
        <w:rPr>
          <w:rFonts w:ascii="Monotype Corsiva" w:eastAsia="Times New Roman" w:hAnsi="Monotype Corsiva" w:cs="Times New Roman"/>
          <w:color w:val="493A22"/>
          <w:sz w:val="27"/>
          <w:szCs w:val="27"/>
          <w:lang w:eastAsia="hu-HU"/>
        </w:rPr>
        <w:t>A vessző hossza alapvetően az íjász húzáshosszától függ. A hossz természetesen befolyásolja a vessző tömegét és rugalmasságát. A rövidebb vessző könnyebb és keményebb. A legtöbb íjász arra törekszik, hogy a húzáshosszának még éppen megfelelő, a lehető legrövidebb vesszőt használja. A nyílhegy gyakran a polcon (hosszú íjaknál) vagy az íjász kézfején (pusztai íjaknál) helyezkedik el az íj teljes megfeszítésének állapotában. Ez tapasztalt íjászoknál valóban segíti a fixpontba húzást, majdnem olyan jól, mintha az íj kattintóval lenne felszerelve. Kezdők esetében viszont rendkívül balesetveszélyes. Ha ugyanis az íjász izgalmában, vagy nagyobb távra kitett cél meglövésekor túlfeszít, és el is engedi az ideget, csaknem biztosan átlövi saját kézfejét, esetleg a markolatot találja el. Utóbbi esetben a vessző valószínűleg kettétörik, és akár az íjász szemsérülését is okozhatja. A fentiek miatt kezdők oktatása esetében helyesen tesszük, ha megköveteljük, hogy nyílvesszőik legalább egy collal (2,54 cm) hosszabbak legyenek, mint húzáshosszuk. Jómagam mind a mai napig két collal hosszabb vesszőket használok, de nem tapasztaltam, hogy emiatt hátrányba kerülnék a versenyeken. Sőt, úgy gondolom, hogy íjam viszonylag vastag markolata (24 mm) miatt, éppen ez a plusz hossz segíti a vessző pályára állását.</w:t>
      </w:r>
    </w:p>
    <w:p w:rsidR="00304BAD" w:rsidRPr="00304BAD" w:rsidRDefault="00304BAD" w:rsidP="00304BAD">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304BAD">
        <w:rPr>
          <w:rFonts w:ascii="Monotype Corsiva" w:eastAsia="Times New Roman" w:hAnsi="Monotype Corsiva" w:cs="Times New Roman"/>
          <w:b/>
          <w:bCs/>
          <w:color w:val="493A22"/>
          <w:sz w:val="27"/>
          <w:lang w:eastAsia="hu-HU"/>
        </w:rPr>
        <w:t>A vessző vastagsága</w:t>
      </w:r>
    </w:p>
    <w:p w:rsidR="00304BAD" w:rsidRPr="00304BAD" w:rsidRDefault="00304BAD" w:rsidP="00304BAD">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304BAD">
        <w:rPr>
          <w:rFonts w:ascii="Monotype Corsiva" w:eastAsia="Times New Roman" w:hAnsi="Monotype Corsiva" w:cs="Times New Roman"/>
          <w:color w:val="493A22"/>
          <w:sz w:val="27"/>
          <w:szCs w:val="27"/>
          <w:lang w:eastAsia="hu-HU"/>
        </w:rPr>
        <w:t>Nyílvesszőkészítőink általában 8,2 mm, 8,6 mm, 8,</w:t>
      </w:r>
      <w:proofErr w:type="spellStart"/>
      <w:r w:rsidRPr="00304BAD">
        <w:rPr>
          <w:rFonts w:ascii="Monotype Corsiva" w:eastAsia="Times New Roman" w:hAnsi="Monotype Corsiva" w:cs="Times New Roman"/>
          <w:color w:val="493A22"/>
          <w:sz w:val="27"/>
          <w:szCs w:val="27"/>
          <w:lang w:eastAsia="hu-HU"/>
        </w:rPr>
        <w:t>8</w:t>
      </w:r>
      <w:proofErr w:type="spellEnd"/>
      <w:r w:rsidRPr="00304BAD">
        <w:rPr>
          <w:rFonts w:ascii="Monotype Corsiva" w:eastAsia="Times New Roman" w:hAnsi="Monotype Corsiva" w:cs="Times New Roman"/>
          <w:color w:val="493A22"/>
          <w:sz w:val="27"/>
          <w:szCs w:val="27"/>
          <w:lang w:eastAsia="hu-HU"/>
        </w:rPr>
        <w:t xml:space="preserve"> mm és 9,2 mm átmérővel gyártják a nyilakat. A vastagabb vesszőket többnyire a hosszú íjjal lövő, főként vadászversenyeken induló sporttársaink választják. A szimmetrikus markolat kiképzésű pusztai íjak tulajdonosai a lehetőségeikhez mérten a vékonyabb vesszőket részesítik előnyben, hiszen ezeket a vesszőket íjaik kevésbé „dobják el” oldalirányban.</w:t>
      </w:r>
    </w:p>
    <w:p w:rsidR="00304BAD" w:rsidRPr="00304BAD" w:rsidRDefault="00304BAD" w:rsidP="00304BAD">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304BAD">
        <w:rPr>
          <w:rFonts w:ascii="Monotype Corsiva" w:eastAsia="Times New Roman" w:hAnsi="Monotype Corsiva" w:cs="Times New Roman"/>
          <w:color w:val="493A22"/>
          <w:sz w:val="27"/>
          <w:szCs w:val="27"/>
          <w:lang w:eastAsia="hu-HU"/>
        </w:rPr>
        <w:t>A megfelelő vastagságú vessző kiválasztásánál mindenképpen figyelemmel kell lennünk arra, hogy a vastagság ugyanúgy befolyásolja a tömeget, mint a hossz, de ennél is lényegesebb szerepe van a vessző rugalmasságának alakításában. Általában igaznak kell tekintenünk azt a megállapítást, miszerint az íjhoz viszonyítva kemény vesszővel is pontosan lehet lőni 15 méterig, ám e távolság felett az íj már szórni fogja a nyilakat.</w:t>
      </w:r>
    </w:p>
    <w:p w:rsidR="00304BAD" w:rsidRPr="00304BAD" w:rsidRDefault="00304BAD" w:rsidP="00304BAD">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304BAD">
        <w:rPr>
          <w:rFonts w:ascii="Monotype Corsiva" w:eastAsia="Times New Roman" w:hAnsi="Monotype Corsiva" w:cs="Times New Roman"/>
          <w:color w:val="493A22"/>
          <w:sz w:val="27"/>
          <w:szCs w:val="27"/>
          <w:lang w:eastAsia="hu-HU"/>
        </w:rPr>
        <w:t>A vadászíjászok – s köztük is elsősorban a hosszú íjjal lövők – azért favorizálják a nagyobb tömegű, keményebb vesszőket, mert ezzel szeretnék elkerülni azt, hogy nyílvesszőjük az eltalált állatalakból kipattanjon. Tapasztalataim szerint a kipattanás oka soha nem a kisebb tömegű vessző, hanem a rosszul megválasztott hegy, esetenként a „foltozott” állatalak foltjának keménysége. Mivel íjaink nem középlövők, érdemes arra törekednünk, hogy íjunk feszítőerejéhez (az íjász által ténylegesen használt, s nem a gyártó által megadott feszítőerőről van szó!) mérten lehetőleg olyan vékony vesszőt használjunk, amely a biztonságos lövést még lehetővé teszi. Itt kell szólnunk a törött, repedt vesszők javítgatásáról is. Ha nem vagyunk nagyon ügyes kezű ezermesterek vagy szakképzett asztalosok, semmiképpen se próbálkozzunk ezzel a módszerrel. A balesetek elkerülése érdekében ilyen vesszőket tanítványaink, sportolóink kezében, tegezében se tűrjünk meg.</w:t>
      </w:r>
    </w:p>
    <w:p w:rsidR="00304BAD" w:rsidRPr="00304BAD" w:rsidRDefault="00304BAD" w:rsidP="00304BAD">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304BAD">
        <w:rPr>
          <w:rFonts w:ascii="Monotype Corsiva" w:eastAsia="Times New Roman" w:hAnsi="Monotype Corsiva" w:cs="Times New Roman"/>
          <w:b/>
          <w:bCs/>
          <w:color w:val="493A22"/>
          <w:sz w:val="27"/>
          <w:lang w:eastAsia="hu-HU"/>
        </w:rPr>
        <w:t>A vessző rugalmassága</w:t>
      </w:r>
    </w:p>
    <w:p w:rsidR="00304BAD" w:rsidRPr="00304BAD" w:rsidRDefault="00304BAD" w:rsidP="00304BAD">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304BAD">
        <w:rPr>
          <w:rFonts w:ascii="Monotype Corsiva" w:eastAsia="Times New Roman" w:hAnsi="Monotype Corsiva" w:cs="Times New Roman"/>
          <w:color w:val="493A22"/>
          <w:sz w:val="27"/>
          <w:szCs w:val="27"/>
          <w:lang w:eastAsia="hu-HU"/>
        </w:rPr>
        <w:lastRenderedPageBreak/>
        <w:t>A vessző rugalmasságát az anglicizmusoktól hemzsegő íjász szakzsargon „</w:t>
      </w:r>
      <w:proofErr w:type="spellStart"/>
      <w:r w:rsidRPr="00304BAD">
        <w:rPr>
          <w:rFonts w:ascii="Monotype Corsiva" w:eastAsia="Times New Roman" w:hAnsi="Monotype Corsiva" w:cs="Times New Roman"/>
          <w:color w:val="493A22"/>
          <w:sz w:val="27"/>
          <w:szCs w:val="27"/>
          <w:lang w:eastAsia="hu-HU"/>
        </w:rPr>
        <w:t>spine-értéknek</w:t>
      </w:r>
      <w:proofErr w:type="spellEnd"/>
      <w:r w:rsidRPr="00304BAD">
        <w:rPr>
          <w:rFonts w:ascii="Monotype Corsiva" w:eastAsia="Times New Roman" w:hAnsi="Monotype Corsiva" w:cs="Times New Roman"/>
          <w:color w:val="493A22"/>
          <w:sz w:val="27"/>
          <w:szCs w:val="27"/>
          <w:lang w:eastAsia="hu-HU"/>
        </w:rPr>
        <w:t>” nevezi. Arról van szó, hogy az egyazon hosszúságú és átmérőjű vesszők rugalmassága nem egyforma, lehetnek közöttük keményebbek és lágyabbak. A vessző a kilövés pillanatától hajlító erőnek van kitéve, amelynek következtében a becsapódás pillanatáig rezgőmozgást végez. A nem középlövő íjaknál ez a rezgőmozgás fokozottabb, mint az olimpiai és csigás íjaknál, amit a markolat vastagsága még tovább növel. A vesszőnek rugalmasságával ezt a rezgőmozgást kell elviselnie úgy, hogy közben az íjász által megkívánt pályán maradva a célba repüljön.</w:t>
      </w:r>
    </w:p>
    <w:p w:rsidR="00304BAD" w:rsidRPr="00304BAD" w:rsidRDefault="00304BAD" w:rsidP="00304BAD">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304BAD">
        <w:rPr>
          <w:rFonts w:ascii="Monotype Corsiva" w:eastAsia="Times New Roman" w:hAnsi="Monotype Corsiva" w:cs="Times New Roman"/>
          <w:color w:val="493A22"/>
          <w:sz w:val="27"/>
          <w:szCs w:val="27"/>
          <w:lang w:eastAsia="hu-HU"/>
        </w:rPr>
        <w:t>A történelmi íjászok fa vesszőinél ez a tulajdonság nem elsősorban a gyártási technológiától (alumínium és karbon vesszők), hanem a vessző készítéséhez kiválasztott fafaj tulajdonságaitól függ. A vesszőkészítéshez leginkább a cédrust, a borovi fenyőt, és újabban a hársat alkalmazzák. A vessző rugalmassága azonos fafaj esetében is több tényező függvénye (erezet sűrűsége, egyenletessége, a faanyag nedvességtartalma, stb.). A legfontosabb azonban az, hogy a rugalmasság egyetlen vessző esetében is változik, ha a vesszőt 90, 120 fokonként elforgatjuk! Döntően ez az oka annak, hogy két egyforma favesszőt még egyazon faanyagból sem lehet készíteni. Természetesen még nagyobb lesz az eltérés, ha – bár a fafaj azonos – vesszőink nem ugyanabból a darab fából készülnek. A jelenleg forgalomban lévő vesszők közül a vesszőink rugalmassága közötti eltéréseket leginkább a Győri János által készített laminált favesszők képesek kiküszöbölni.</w:t>
      </w:r>
    </w:p>
    <w:p w:rsidR="00304BAD" w:rsidRPr="00304BAD" w:rsidRDefault="00304BAD" w:rsidP="00304BAD">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304BAD">
        <w:rPr>
          <w:rFonts w:ascii="Monotype Corsiva" w:eastAsia="Times New Roman" w:hAnsi="Monotype Corsiva" w:cs="Times New Roman"/>
          <w:b/>
          <w:bCs/>
          <w:color w:val="493A22"/>
          <w:sz w:val="27"/>
          <w:lang w:eastAsia="hu-HU"/>
        </w:rPr>
        <w:t>A vessző tollazása</w:t>
      </w:r>
    </w:p>
    <w:p w:rsidR="00304BAD" w:rsidRPr="00304BAD" w:rsidRDefault="00304BAD" w:rsidP="00304BAD">
      <w:pPr>
        <w:shd w:val="clear" w:color="auto" w:fill="E4D7C4"/>
        <w:spacing w:before="120" w:after="120" w:line="240" w:lineRule="auto"/>
        <w:jc w:val="both"/>
        <w:rPr>
          <w:rFonts w:ascii="Monotype Corsiva" w:eastAsia="Times New Roman" w:hAnsi="Monotype Corsiva" w:cs="Times New Roman"/>
          <w:color w:val="493A22"/>
          <w:sz w:val="27"/>
          <w:szCs w:val="27"/>
          <w:lang w:eastAsia="hu-HU"/>
        </w:rPr>
      </w:pPr>
      <w:r w:rsidRPr="00304BAD">
        <w:rPr>
          <w:rFonts w:ascii="Monotype Corsiva" w:eastAsia="Times New Roman" w:hAnsi="Monotype Corsiva" w:cs="Times New Roman"/>
          <w:color w:val="493A22"/>
          <w:sz w:val="27"/>
          <w:szCs w:val="27"/>
          <w:lang w:eastAsia="hu-HU"/>
        </w:rPr>
        <w:t>Nyílvesszőink röptét a tollazás irányítja. Sajnos a tollak méretezésével, annak a nyílvessző röptét befolyásoló hatásával vesszőkészítőink még nem foglalkoznak behatóan, bár személyes meggyőződésem, hogy a pontos lövésben közel akkora szerepe van a toll hosszának, magasságának, mint a vessző rugalmasságának. Az általános tapasztalat az, hogy a magasabb, de rövidebb tollazású vesszők a közeli, az alacsonyabb és hosszabb tollú vesszők a távoli célok pontos meglövésére alkalmasabbak. Az eltérő tollazású vesszők használatát tulajdonképpen az érvényes versenyszabályok sem tiltják, amennyiben a verseny kezdete előtt azokat az íjász bemutatta. Természetesen egy célra egyforma vesszőket kell kilőni.</w:t>
      </w:r>
    </w:p>
    <w:p w:rsidR="002C3635" w:rsidRDefault="002C3635"/>
    <w:sectPr w:rsidR="002C3635" w:rsidSect="002C36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Monotype Corsiva">
    <w:panose1 w:val="03010101010201010101"/>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04BAD"/>
    <w:rsid w:val="002C3635"/>
    <w:rsid w:val="00304BA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C3635"/>
  </w:style>
  <w:style w:type="paragraph" w:styleId="Cmsor2">
    <w:name w:val="heading 2"/>
    <w:basedOn w:val="Norml"/>
    <w:link w:val="Cmsor2Char"/>
    <w:uiPriority w:val="9"/>
    <w:qFormat/>
    <w:rsid w:val="00304BAD"/>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304BAD"/>
    <w:rPr>
      <w:rFonts w:ascii="Times New Roman" w:eastAsia="Times New Roman" w:hAnsi="Times New Roman" w:cs="Times New Roman"/>
      <w:b/>
      <w:bCs/>
      <w:sz w:val="36"/>
      <w:szCs w:val="36"/>
      <w:lang w:eastAsia="hu-HU"/>
    </w:rPr>
  </w:style>
  <w:style w:type="character" w:customStyle="1" w:styleId="apple-converted-space">
    <w:name w:val="apple-converted-space"/>
    <w:basedOn w:val="Bekezdsalapbettpusa"/>
    <w:rsid w:val="00304BAD"/>
  </w:style>
  <w:style w:type="paragraph" w:styleId="NormlWeb">
    <w:name w:val="Normal (Web)"/>
    <w:basedOn w:val="Norml"/>
    <w:uiPriority w:val="99"/>
    <w:semiHidden/>
    <w:unhideWhenUsed/>
    <w:rsid w:val="00304BA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304BAD"/>
    <w:rPr>
      <w:b/>
      <w:bCs/>
    </w:rPr>
  </w:style>
  <w:style w:type="paragraph" w:styleId="Buborkszveg">
    <w:name w:val="Balloon Text"/>
    <w:basedOn w:val="Norml"/>
    <w:link w:val="BuborkszvegChar"/>
    <w:uiPriority w:val="99"/>
    <w:semiHidden/>
    <w:unhideWhenUsed/>
    <w:rsid w:val="00304BAD"/>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304B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9516082">
      <w:bodyDiv w:val="1"/>
      <w:marLeft w:val="0"/>
      <w:marRight w:val="0"/>
      <w:marTop w:val="0"/>
      <w:marBottom w:val="0"/>
      <w:divBdr>
        <w:top w:val="none" w:sz="0" w:space="0" w:color="auto"/>
        <w:left w:val="none" w:sz="0" w:space="0" w:color="auto"/>
        <w:bottom w:val="none" w:sz="0" w:space="0" w:color="auto"/>
        <w:right w:val="none" w:sz="0" w:space="0" w:color="auto"/>
      </w:divBdr>
      <w:divsChild>
        <w:div w:id="109398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keszi-ijasz.hu/component/mailto/?tmpl=component&amp;link=aHR0cDovL2tlc3ppLWlqYXN6Lmh1L255aWx2ZXNzems%3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keszi-ijasz.hu/nyilvesszk?tmpl=component&amp;print=1&amp;page=" TargetMode="Externa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6868</Characters>
  <Application>Microsoft Office Word</Application>
  <DocSecurity>0</DocSecurity>
  <Lines>57</Lines>
  <Paragraphs>15</Paragraphs>
  <ScaleCrop>false</ScaleCrop>
  <Company/>
  <LinksUpToDate>false</LinksUpToDate>
  <CharactersWithSpaces>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Család</dc:creator>
  <cp:keywords/>
  <dc:description/>
  <cp:lastModifiedBy>Család</cp:lastModifiedBy>
  <cp:revision>1</cp:revision>
  <dcterms:created xsi:type="dcterms:W3CDTF">2012-01-13T19:36:00Z</dcterms:created>
  <dcterms:modified xsi:type="dcterms:W3CDTF">2012-01-13T19:36:00Z</dcterms:modified>
</cp:coreProperties>
</file>